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="003D5A64" w:rsidP="5166BC78" w:rsidRDefault="002C01BF" w14:paraId="1B613EEE" wp14:textId="77777777" wp14:noSpellErr="1">
      <w:pPr>
        <w:jc w:val="center"/>
        <w:rPr>
          <w:sz w:val="40"/>
          <w:szCs w:val="40"/>
        </w:rPr>
      </w:pPr>
      <w:r w:rsidRPr="5166BC78" w:rsidR="5166BC78">
        <w:rPr>
          <w:sz w:val="40"/>
          <w:szCs w:val="40"/>
        </w:rPr>
        <w:t>Barstow</w:t>
      </w:r>
    </w:p>
    <w:p xmlns:wp14="http://schemas.microsoft.com/office/word/2010/wordml" w:rsidR="002C01BF" w:rsidP="5166BC78" w:rsidRDefault="002C01BF" w14:paraId="75E92FBC" wp14:noSpellErr="1" wp14:textId="69288AE1">
      <w:pPr>
        <w:jc w:val="center"/>
        <w:rPr>
          <w:sz w:val="40"/>
          <w:szCs w:val="40"/>
        </w:rPr>
      </w:pPr>
      <w:r w:rsidRPr="5166BC78" w:rsidR="5166BC78">
        <w:rPr>
          <w:sz w:val="40"/>
          <w:szCs w:val="40"/>
        </w:rPr>
        <w:t>1</w:t>
      </w:r>
      <w:r w:rsidRPr="5166BC78" w:rsidR="5166BC78">
        <w:rPr>
          <w:sz w:val="40"/>
          <w:szCs w:val="40"/>
          <w:vertAlign w:val="superscript"/>
        </w:rPr>
        <w:t>st</w:t>
      </w:r>
      <w:r w:rsidRPr="5166BC78" w:rsidR="5166BC78">
        <w:rPr>
          <w:sz w:val="40"/>
          <w:szCs w:val="40"/>
        </w:rPr>
        <w:t xml:space="preserve"> and 2n</w:t>
      </w:r>
      <w:r w:rsidRPr="5166BC78" w:rsidR="5166BC78">
        <w:rPr>
          <w:sz w:val="40"/>
          <w:szCs w:val="40"/>
        </w:rPr>
        <w:t>d</w:t>
      </w:r>
      <w:r w:rsidRPr="5166BC78" w:rsidR="5166BC78">
        <w:rPr>
          <w:sz w:val="40"/>
          <w:szCs w:val="40"/>
        </w:rPr>
        <w:t xml:space="preserve"> Quarter Combined</w:t>
      </w:r>
    </w:p>
    <w:p xmlns:wp14="http://schemas.microsoft.com/office/word/2010/wordml" w:rsidRPr="002C01BF" w:rsidR="002C01BF" w:rsidP="002C01BF" w:rsidRDefault="002C01BF" w14:paraId="7D5B43E2" wp14:textId="77777777">
      <w:pPr>
        <w:jc w:val="center"/>
        <w:rPr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45F7E2ED" wp14:editId="20443527">
            <wp:extent cx="9448800" cy="58197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2C01BF" w:rsidR="002C01BF" w:rsidSect="002C01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BF"/>
    <w:rsid w:val="002C01BF"/>
    <w:rsid w:val="003D5A64"/>
    <w:rsid w:val="5166B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FAC94-CB87-4F8F-9DA6-E7D24DF7EEDA}"/>
  <w14:docId w14:val="1B613EE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18</c:v>
                </c:pt>
                <c:pt idx="1">
                  <c:v>21</c:v>
                </c:pt>
                <c:pt idx="2">
                  <c:v>10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3206000"/>
        <c:axId val="333205608"/>
        <c:axId val="0"/>
      </c:bar3DChart>
      <c:catAx>
        <c:axId val="33320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3205608"/>
        <c:crosses val="autoZero"/>
        <c:auto val="1"/>
        <c:lblAlgn val="ctr"/>
        <c:lblOffset val="100"/>
        <c:noMultiLvlLbl val="0"/>
      </c:catAx>
      <c:valAx>
        <c:axId val="333205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320600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0.15726</cdr:x>
      <cdr:y>0.5401</cdr:y>
    </cdr:from>
    <cdr:to>
      <cdr:x>0.42641</cdr:x>
      <cdr:y>0.58592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3143250"/>
          <a:ext cx="25431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1,945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0.15625</cdr:x>
      <cdr:y>0.6072</cdr:y>
    </cdr:from>
    <cdr:to>
      <cdr:x>0.64819</cdr:x>
      <cdr:y>0.64484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3533775"/>
          <a:ext cx="46482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1,986 </a:t>
          </a:r>
          <a:r>
            <a:rPr lang="en-US" sz="1000" i="1" baseline="0"/>
            <a:t>- Average Year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0.15524</cdr:x>
      <cdr:y>0.6743</cdr:y>
    </cdr:from>
    <cdr:to>
      <cdr:x>0.44052</cdr:x>
      <cdr:y>0.71686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3924300"/>
          <a:ext cx="2695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1,861 </a:t>
          </a:r>
          <a:r>
            <a:rPr lang="en-US" sz="1000" i="1" baseline="0"/>
            <a:t>- Average Year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0.15524</cdr:x>
      <cdr:y>0.73977</cdr:y>
    </cdr:from>
    <cdr:to>
      <cdr:x>0.55847</cdr:x>
      <cdr:y>0.77905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4305300"/>
          <a:ext cx="3810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1,668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0.15625</cdr:x>
      <cdr:y>0.80524</cdr:y>
    </cdr:from>
    <cdr:to>
      <cdr:x>0.54738</cdr:x>
      <cdr:y>0.85434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686300"/>
          <a:ext cx="36957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1,732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0.15625</cdr:x>
      <cdr:y>0.8707</cdr:y>
    </cdr:from>
    <cdr:to>
      <cdr:x>0.46875</cdr:x>
      <cdr:y>0.91326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5067300"/>
          <a:ext cx="29527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1,452</a:t>
          </a:r>
          <a:r>
            <a:rPr lang="en-US" sz="1000" i="1"/>
            <a:t> - Average Year Built </a:t>
          </a:r>
          <a:r>
            <a:rPr lang="en-US" sz="1000" b="1" i="1"/>
            <a:t>1970</a:t>
          </a:r>
        </a:p>
      </cdr:txBody>
    </cdr:sp>
  </cdr:relSizeAnchor>
  <cdr:relSizeAnchor xmlns:cdr="http://schemas.openxmlformats.org/drawingml/2006/chartDrawing">
    <cdr:from>
      <cdr:x>0.15625</cdr:x>
      <cdr:y>0.93781</cdr:y>
    </cdr:from>
    <cdr:to>
      <cdr:x>0.51008</cdr:x>
      <cdr:y>0.98854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5457825"/>
          <a:ext cx="33432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1,475 </a:t>
          </a:r>
          <a:r>
            <a:rPr lang="en-US" sz="1000" i="1"/>
            <a:t>- Average Year Built </a:t>
          </a:r>
          <a:r>
            <a:rPr lang="en-US" sz="1000" b="1" i="1"/>
            <a:t>1965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2016-08-23T19:05:00.0000000Z</dcterms:created>
  <dcterms:modified xsi:type="dcterms:W3CDTF">2017-01-03T23:14:45.2930316Z</dcterms:modified>
</coreProperties>
</file>